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drawing>
          <wp:inline distT="0" distB="0" distL="114300" distR="114300">
            <wp:extent cx="5858510" cy="3295650"/>
            <wp:effectExtent l="0" t="0" r="8890" b="0"/>
            <wp:docPr id="2" name="Изображение 2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851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jc w:val="center"/>
        <w:rPr>
          <w:b/>
          <w:bCs/>
          <w:sz w:val="28"/>
          <w:szCs w:val="28"/>
          <w:lang w:eastAsia="en-US"/>
        </w:rPr>
      </w:pPr>
    </w:p>
    <w:p>
      <w:pPr>
        <w:pStyle w:val="6"/>
        <w:ind w:right="0" w:firstLine="7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ГУ ДПС у Вінницькій області нагадує, що триває кампанія  декларування доходів отриманих у 2022 році. Тож звертаємо увагу, що обов'язок </w:t>
      </w:r>
      <w:r>
        <w:rPr>
          <w:rFonts w:ascii="Times New Roman" w:hAnsi="Times New Roman" w:cs="Times New Roman"/>
          <w:sz w:val="28"/>
          <w:szCs w:val="28"/>
        </w:rPr>
        <w:t>подати податкову декларацію за результатами податкового (звітного) року та самостійно сплатити податок на доходи фізичних осіб та військовий збір поширюється на тих, хто протягом попереднього календарного року отримав, зокрема:</w:t>
      </w:r>
    </w:p>
    <w:p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•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 доход</w:t>
      </w:r>
      <w:r>
        <w:rPr>
          <w:bCs/>
          <w:color w:val="000000"/>
          <w:sz w:val="28"/>
          <w:szCs w:val="28"/>
          <w:lang w:val="uk-UA"/>
        </w:rPr>
        <w:t>и</w:t>
      </w:r>
      <w:r>
        <w:rPr>
          <w:bCs/>
          <w:color w:val="000000"/>
          <w:sz w:val="28"/>
          <w:szCs w:val="28"/>
        </w:rPr>
        <w:t>, що не підлягають оподаткуванню при виплаті, але не звільн</w:t>
      </w:r>
      <w:r>
        <w:rPr>
          <w:bCs/>
          <w:color w:val="000000"/>
          <w:sz w:val="28"/>
          <w:szCs w:val="28"/>
          <w:lang w:val="uk-UA"/>
        </w:rPr>
        <w:t>ені</w:t>
      </w:r>
      <w:r>
        <w:rPr>
          <w:bCs/>
          <w:color w:val="000000"/>
          <w:sz w:val="28"/>
          <w:szCs w:val="28"/>
        </w:rPr>
        <w:t xml:space="preserve"> від оподаткування (суми заборгованості, за якими минув строк позивної давності; нецільова благодійна допомога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 понад установлену норму; додаткове благо, тощо);</w:t>
      </w:r>
    </w:p>
    <w:p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•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доход</w:t>
      </w:r>
      <w:r>
        <w:rPr>
          <w:bCs/>
          <w:color w:val="000000"/>
          <w:sz w:val="28"/>
          <w:szCs w:val="28"/>
          <w:lang w:val="uk-UA"/>
        </w:rPr>
        <w:t>и</w:t>
      </w:r>
      <w:r>
        <w:rPr>
          <w:bCs/>
          <w:color w:val="000000"/>
          <w:sz w:val="28"/>
          <w:szCs w:val="28"/>
        </w:rPr>
        <w:t xml:space="preserve"> від особи, яка не є податковим агентом (від інших фізичних осіб (резидентів або нерезидентів)) (спадщина; подарунки; доходи від оренди майна іншій фізичній особі, доходи від операцій з продажу (обміну) рухомого та нерухомого майна у випадках передбачених Кодексом, тощо);</w:t>
      </w:r>
    </w:p>
    <w:p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•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іноземні доходи</w:t>
      </w:r>
      <w:r>
        <w:rPr>
          <w:bCs/>
          <w:color w:val="000000"/>
          <w:sz w:val="28"/>
          <w:szCs w:val="28"/>
          <w:lang w:val="uk-UA"/>
        </w:rPr>
        <w:t>.</w:t>
      </w:r>
    </w:p>
    <w:p>
      <w:pPr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lang w:val="uk-UA"/>
        </w:rPr>
        <w:t>Крім того, п</w:t>
      </w:r>
      <w:r>
        <w:rPr>
          <w:iCs/>
          <w:color w:val="000000"/>
          <w:sz w:val="28"/>
          <w:szCs w:val="28"/>
        </w:rPr>
        <w:t>одаткову декларацію</w:t>
      </w:r>
      <w:r>
        <w:rPr>
          <w:iCs/>
          <w:color w:val="000000"/>
          <w:sz w:val="28"/>
          <w:szCs w:val="28"/>
          <w:lang w:val="uk-UA"/>
        </w:rPr>
        <w:t xml:space="preserve"> про майновий стан та доходи</w:t>
      </w:r>
      <w:r>
        <w:rPr>
          <w:iCs/>
          <w:color w:val="000000"/>
          <w:sz w:val="28"/>
          <w:szCs w:val="28"/>
        </w:rPr>
        <w:t xml:space="preserve"> також зобов’язані подавати:</w:t>
      </w:r>
    </w:p>
    <w:p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•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фізичні особи, які отримують доходи від підприємницької діяльності, крім осіб, що обрали спрощену систему оподаткування; </w:t>
      </w:r>
    </w:p>
    <w:p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•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фізичні особи, які здійснюють незалежну професійну діяльність;</w:t>
      </w:r>
    </w:p>
    <w:p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•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 іноземці, які за результатами звітного року набули статус резидента України мають відобразити  доходи з джерелом їх походження в Україні та іноземні доходи; </w:t>
      </w:r>
    </w:p>
    <w:p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•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платники податку – резиденти, які виїжджають за кордон на постійне місце проживання, не пізніше 60 календарних днів, що передують виїзду.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Style w:val="4"/>
          <w:rFonts w:hint="default"/>
          <w:b w:val="0"/>
          <w:spacing w:val="-4"/>
          <w:sz w:val="15"/>
          <w:lang w:eastAsia="uk-UA"/>
        </w:rPr>
        <w:drawing>
          <wp:inline distT="0" distB="0" distL="114300" distR="114300">
            <wp:extent cx="6256655" cy="407670"/>
            <wp:effectExtent l="0" t="0" r="10795" b="1143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6655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C0413"/>
    <w:rsid w:val="000A79AE"/>
    <w:rsid w:val="000C4194"/>
    <w:rsid w:val="00155D57"/>
    <w:rsid w:val="00302301"/>
    <w:rsid w:val="00574C14"/>
    <w:rsid w:val="00A7079D"/>
    <w:rsid w:val="00FC0413"/>
    <w:rsid w:val="01620673"/>
    <w:rsid w:val="43101179"/>
    <w:rsid w:val="7970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val="ru-RU" w:eastAsia="uk-UA" w:bidi="ar-SA"/>
    </w:rPr>
  </w:style>
  <w:style w:type="character" w:default="1" w:styleId="2">
    <w:name w:val="Default Paragraph Font"/>
    <w:link w:val="3"/>
    <w:semiHidden/>
    <w:unhideWhenUsed/>
    <w:uiPriority w:val="1"/>
    <w:rPr>
      <w:rFonts w:hint="default" w:ascii="Verdana"/>
      <w:sz w:val="20"/>
      <w:lang w:val="en-US"/>
    </w:rPr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Char Знак Знак Char Знак Знак Char Знак Знак Char Знак Знак Знак"/>
    <w:basedOn w:val="1"/>
    <w:link w:val="2"/>
    <w:unhideWhenUsed/>
    <w:qFormat/>
    <w:uiPriority w:val="99"/>
    <w:pPr>
      <w:widowControl w:val="0"/>
      <w:adjustRightInd w:val="0"/>
      <w:spacing w:after="0" w:line="360" w:lineRule="atLeast"/>
      <w:jc w:val="both"/>
      <w:textAlignment w:val="baseline"/>
    </w:pPr>
    <w:rPr>
      <w:rFonts w:hint="default" w:ascii="Verdana"/>
      <w:sz w:val="20"/>
      <w:lang w:val="en-US"/>
    </w:rPr>
  </w:style>
  <w:style w:type="character" w:styleId="4">
    <w:name w:val="Strong"/>
    <w:basedOn w:val="2"/>
    <w:unhideWhenUsed/>
    <w:qFormat/>
    <w:uiPriority w:val="99"/>
    <w:rPr>
      <w:rFonts w:hint="default"/>
      <w:b/>
      <w:sz w:val="24"/>
    </w:rPr>
  </w:style>
  <w:style w:type="paragraph" w:customStyle="1" w:styleId="6">
    <w:name w:val="Основной текст с отступом1"/>
    <w:basedOn w:val="1"/>
    <w:qFormat/>
    <w:uiPriority w:val="0"/>
    <w:pPr>
      <w:ind w:right="-1050" w:firstLine="567"/>
      <w:jc w:val="both"/>
    </w:pPr>
    <w:rPr>
      <w:rFonts w:ascii="Calibri" w:hAnsi="Calibri" w:eastAsia="Calibri" w:cs="Calibri"/>
      <w:sz w:val="32"/>
      <w:szCs w:val="32"/>
      <w:lang w:val="uk-UA"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231</Words>
  <Characters>1323</Characters>
  <Lines>11</Lines>
  <Paragraphs>3</Paragraphs>
  <TotalTime>0</TotalTime>
  <ScaleCrop>false</ScaleCrop>
  <LinksUpToDate>false</LinksUpToDate>
  <CharactersWithSpaces>1551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2023-04-04T08:58:00Z</dcterms:created>
  <dc:creator>User</dc:creator>
  <cp:lastModifiedBy>user</cp:lastModifiedBy>
  <dcterms:modified xsi:type="dcterms:W3CDTF">2023-04-24T09:01:06Z</dcterms:modified>
  <dc:title>Платники податку, які зобов’язані подати декларацію про майновий стан і доходи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